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NanumGothic" w:hAnsi="NanumGothic" w:eastAsia="NanumGothic"/>
          <w:b/>
          <w:color w:val="17365D"/>
          <w:sz w:val="44"/>
        </w:rPr>
        <w:t>Masocampus 고객 상담 기록</w:t>
      </w:r>
    </w:p>
    <w:p>
      <w:pPr>
        <w:jc w:val="center"/>
      </w:pPr>
      <w:r>
        <w:rPr>
          <w:rFonts w:ascii="NanumGothic" w:hAnsi="NanumGothic" w:eastAsia="NanumGothic"/>
          <w:color w:val="5A5A5A"/>
          <w:sz w:val="20"/>
        </w:rPr>
        <w:t>MM뱅크 기업외환팀 - 가상 상담 메모</w:t>
      </w:r>
    </w:p>
    <w:p/>
    <w:p>
      <w:pPr>
        <w:pStyle w:val="Heading1"/>
      </w:pPr>
      <w:r>
        <w:t>상담 기본정보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4986"/>
            <w:shd w:fill="17365D"/>
            <w:vAlign w:val="center"/>
          </w:tcPr>
          <w:p>
            <w:pPr>
              <w:jc w:val="center"/>
            </w:pPr>
            <w:r/>
            <w:r>
              <w:rPr>
                <w:rFonts w:ascii="NanumGothic" w:hAnsi="NanumGothic" w:eastAsia="NanumGothic"/>
                <w:b/>
                <w:color w:val="FFFFFF"/>
                <w:sz w:val="18"/>
              </w:rPr>
              <w:t>항목</w:t>
            </w:r>
          </w:p>
        </w:tc>
        <w:tc>
          <w:tcPr>
            <w:tcW w:type="dxa" w:w="4986"/>
            <w:shd w:fill="17365D"/>
            <w:vAlign w:val="center"/>
          </w:tcPr>
          <w:p>
            <w:pPr>
              <w:jc w:val="center"/>
            </w:pPr>
            <w:r/>
            <w:r>
              <w:rPr>
                <w:rFonts w:ascii="NanumGothic" w:hAnsi="NanumGothic" w:eastAsia="NanumGothic"/>
                <w:b/>
                <w:color w:val="FFFFFF"/>
                <w:sz w:val="18"/>
              </w:rPr>
              <w:t>내용</w:t>
            </w:r>
          </w:p>
        </w:tc>
      </w:tr>
      <w:tr>
        <w:tc>
          <w:tcPr>
            <w:tcW w:type="dxa" w:w="4986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상담일</w:t>
            </w:r>
          </w:p>
        </w:tc>
        <w:tc>
          <w:tcPr>
            <w:tcW w:type="dxa" w:w="4986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2026년 6월 18일</w:t>
            </w:r>
          </w:p>
        </w:tc>
      </w:tr>
      <w:tr>
        <w:tc>
          <w:tcPr>
            <w:tcW w:type="dxa" w:w="4986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참석자(고객)</w:t>
            </w:r>
          </w:p>
        </w:tc>
        <w:tc>
          <w:tcPr>
            <w:tcW w:type="dxa" w:w="4986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CFO 김도현, 재무팀장 이서진, 자금담당 박민우</w:t>
            </w:r>
          </w:p>
        </w:tc>
      </w:tr>
      <w:tr>
        <w:tc>
          <w:tcPr>
            <w:tcW w:type="dxa" w:w="4986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참석자(MM뱅크)</w:t>
            </w:r>
          </w:p>
        </w:tc>
        <w:tc>
          <w:tcPr>
            <w:tcW w:type="dxa" w:w="4986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기업금융 RM, 외환 전문요원</w:t>
            </w:r>
          </w:p>
        </w:tc>
      </w:tr>
      <w:tr>
        <w:tc>
          <w:tcPr>
            <w:tcW w:type="dxa" w:w="4986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상담목적</w:t>
            </w:r>
          </w:p>
        </w:tc>
        <w:tc>
          <w:tcPr>
            <w:tcW w:type="dxa" w:w="4986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외환거래 통합 및 환리스크 관리체계 검토</w:t>
            </w:r>
          </w:p>
        </w:tc>
      </w:tr>
    </w:tbl>
    <w:p/>
    <w:p>
      <w:pPr>
        <w:pStyle w:val="Heading1"/>
      </w:pPr>
      <w:r>
        <w:t>주요 발언 및 확인사항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24"/>
        <w:gridCol w:w="3324"/>
        <w:gridCol w:w="3324"/>
      </w:tblGrid>
      <w:tr>
        <w:tc>
          <w:tcPr>
            <w:tcW w:type="dxa" w:w="1247"/>
            <w:shd w:fill="17365D"/>
            <w:vAlign w:val="center"/>
          </w:tcPr>
          <w:p>
            <w:pPr>
              <w:jc w:val="center"/>
            </w:pPr>
            <w:r/>
            <w:r>
              <w:rPr>
                <w:rFonts w:ascii="NanumGothic" w:hAnsi="NanumGothic" w:eastAsia="NanumGothic"/>
                <w:b/>
                <w:color w:val="FFFFFF"/>
                <w:sz w:val="18"/>
              </w:rPr>
              <w:t>발언자</w:t>
            </w:r>
          </w:p>
        </w:tc>
        <w:tc>
          <w:tcPr>
            <w:tcW w:type="dxa" w:w="4819"/>
            <w:shd w:fill="17365D"/>
            <w:vAlign w:val="center"/>
          </w:tcPr>
          <w:p>
            <w:pPr>
              <w:jc w:val="center"/>
            </w:pPr>
            <w:r/>
            <w:r>
              <w:rPr>
                <w:rFonts w:ascii="NanumGothic" w:hAnsi="NanumGothic" w:eastAsia="NanumGothic"/>
                <w:b/>
                <w:color w:val="FFFFFF"/>
                <w:sz w:val="18"/>
              </w:rPr>
              <w:t>상담 내용</w:t>
            </w:r>
          </w:p>
        </w:tc>
        <w:tc>
          <w:tcPr>
            <w:tcW w:type="dxa" w:w="3118"/>
            <w:shd w:fill="17365D"/>
            <w:vAlign w:val="center"/>
          </w:tcPr>
          <w:p>
            <w:pPr>
              <w:jc w:val="center"/>
            </w:pPr>
            <w:r/>
            <w:r>
              <w:rPr>
                <w:rFonts w:ascii="NanumGothic" w:hAnsi="NanumGothic" w:eastAsia="NanumGothic"/>
                <w:b/>
                <w:color w:val="FFFFFF"/>
                <w:sz w:val="18"/>
              </w:rPr>
              <w:t>해석/추가 확인</w:t>
            </w:r>
          </w:p>
        </w:tc>
      </w:tr>
      <w:tr>
        <w:tc>
          <w:tcPr>
            <w:tcW w:type="dxa" w:w="1247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CFO</w:t>
            </w:r>
          </w:p>
        </w:tc>
        <w:tc>
          <w:tcPr>
            <w:tcW w:type="dxa" w:w="4819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매출이 성장하고 있지만 환율에 따라 분기 실적이 크게 흔들린다. 환차익을 내기보다 예산 환율을 지키는 것이 중요하다.</w:t>
            </w:r>
          </w:p>
        </w:tc>
        <w:tc>
          <w:tcPr>
            <w:tcW w:type="dxa" w:w="3118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목표는 수익 극대화보다 변동성 축소</w:t>
            </w:r>
          </w:p>
        </w:tc>
      </w:tr>
      <w:tr>
        <w:tc>
          <w:tcPr>
            <w:tcW w:type="dxa" w:w="1247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재무팀장</w:t>
            </w:r>
          </w:p>
        </w:tc>
        <w:tc>
          <w:tcPr>
            <w:tcW w:type="dxa" w:w="4819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수금일이 계약서와 다르게 늦어지는 경우가 있어 선물환 만기를 정확히 잡기 어렵다.</w:t>
            </w:r>
          </w:p>
        </w:tc>
        <w:tc>
          <w:tcPr>
            <w:tcW w:type="dxa" w:w="3118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만기 분산 또는 유연한 실행 방식 필요</w:t>
            </w:r>
          </w:p>
        </w:tc>
      </w:tr>
      <w:tr>
        <w:tc>
          <w:tcPr>
            <w:tcW w:type="dxa" w:w="1247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자금담당</w:t>
            </w:r>
          </w:p>
        </w:tc>
        <w:tc>
          <w:tcPr>
            <w:tcW w:type="dxa" w:w="4819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세 은행의 환율과 수수료를 매번 비교한다. 거래 확인서와 회계자료를 따로 내려받아야 한다.</w:t>
            </w:r>
          </w:p>
        </w:tc>
        <w:tc>
          <w:tcPr>
            <w:tcW w:type="dxa" w:w="3118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거래은행 통합과 보고 자동화 니즈</w:t>
            </w:r>
          </w:p>
        </w:tc>
      </w:tr>
      <w:tr>
        <w:tc>
          <w:tcPr>
            <w:tcW w:type="dxa" w:w="1247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CFO</w:t>
            </w:r>
          </w:p>
        </w:tc>
        <w:tc>
          <w:tcPr>
            <w:tcW w:type="dxa" w:w="4819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전체 금액을 한 번에 헤지하는 것은 부담스럽다. 최소한의 원칙부터 시작하고 싶다.</w:t>
            </w:r>
          </w:p>
        </w:tc>
        <w:tc>
          <w:tcPr>
            <w:tcW w:type="dxa" w:w="3118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단계적 헤지비율 제안 적합</w:t>
            </w:r>
          </w:p>
        </w:tc>
      </w:tr>
      <w:tr>
        <w:tc>
          <w:tcPr>
            <w:tcW w:type="dxa" w:w="1247"/>
            <w:shd w:fill="F2F2F2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/>
                <w:color w:val="000000"/>
                <w:sz w:val="17"/>
              </w:rPr>
              <w:t>재무팀장</w:t>
            </w:r>
          </w:p>
        </w:tc>
        <w:tc>
          <w:tcPr>
            <w:tcW w:type="dxa" w:w="4819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유럽 매출은 아직 작지만 성장률이 높다. EUR도 관리대상에 포함해야 한다.</w:t>
            </w:r>
          </w:p>
        </w:tc>
        <w:tc>
          <w:tcPr>
            <w:tcW w:type="dxa" w:w="3118"/>
            <w:vAlign w:val="center"/>
          </w:tcPr>
          <w:p>
            <w:pPr>
              <w:jc w:val="left"/>
            </w:pPr>
            <w:r/>
            <w:r>
              <w:rPr>
                <w:rFonts w:ascii="NanumGothic" w:hAnsi="NanumGothic" w:eastAsia="NanumGothic"/>
                <w:b w:val="0"/>
                <w:color w:val="000000"/>
                <w:sz w:val="17"/>
              </w:rPr>
              <w:t>USD 중심, EUR 보조 정책 필요</w:t>
            </w:r>
          </w:p>
        </w:tc>
      </w:tr>
    </w:tbl>
    <w:p/>
    <w:p>
      <w:pPr>
        <w:pStyle w:val="Heading1"/>
      </w:pPr>
      <w:r>
        <w:t>현재 업무 프로세스</w:t>
      </w:r>
    </w:p>
    <w:p>
      <w:pPr>
        <w:pStyle w:val="ListBullet"/>
        <w:spacing w:after="40"/>
      </w:pPr>
      <w:r>
        <w:rPr>
          <w:rFonts w:ascii="NanumGothic" w:hAnsi="NanumGothic" w:eastAsia="NanumGothic"/>
        </w:rPr>
        <w:t>해외영업팀이 계약을 체결하면 재무팀이 엑셀에 예정 수금일과 금액을 수기 입력한다.</w:t>
      </w:r>
    </w:p>
    <w:p>
      <w:pPr>
        <w:pStyle w:val="ListBullet"/>
        <w:spacing w:after="40"/>
      </w:pPr>
      <w:r>
        <w:rPr>
          <w:rFonts w:ascii="NanumGothic" w:hAnsi="NanumGothic" w:eastAsia="NanumGothic"/>
        </w:rPr>
        <w:t>수금 예정 변경사항은 이메일로 전달되며, 일부 변경은 월말에야 반영된다.</w:t>
      </w:r>
    </w:p>
    <w:p>
      <w:pPr>
        <w:pStyle w:val="ListBullet"/>
        <w:spacing w:after="40"/>
      </w:pPr>
      <w:r>
        <w:rPr>
          <w:rFonts w:ascii="NanumGothic" w:hAnsi="NanumGothic" w:eastAsia="NanumGothic"/>
        </w:rPr>
        <w:t>외화 입금 후 CFO 또는 재무팀장이 환전 여부를 결정한다.</w:t>
      </w:r>
    </w:p>
    <w:p>
      <w:pPr>
        <w:pStyle w:val="ListBullet"/>
        <w:spacing w:after="40"/>
      </w:pPr>
      <w:r>
        <w:rPr>
          <w:rFonts w:ascii="NanumGothic" w:hAnsi="NanumGothic" w:eastAsia="NanumGothic"/>
        </w:rPr>
        <w:t>거래은행별 우대율과 송금수수료는 담당자가 개별 확인한다.</w:t>
      </w:r>
    </w:p>
    <w:p>
      <w:pPr>
        <w:pStyle w:val="ListBullet"/>
        <w:spacing w:after="40"/>
      </w:pPr>
      <w:r>
        <w:rPr>
          <w:rFonts w:ascii="NanumGothic" w:hAnsi="NanumGothic" w:eastAsia="NanumGothic"/>
        </w:rPr>
        <w:t>월말에 은행별 거래내역을 취합해 회계팀에 전달한다.</w:t>
      </w:r>
    </w:p>
    <w:p>
      <w:pPr>
        <w:pStyle w:val="Heading1"/>
      </w:pPr>
      <w:r>
        <w:t>확인되지 않은 사항</w:t>
      </w:r>
    </w:p>
    <w:p>
      <w:pPr>
        <w:pStyle w:val="ListBullet"/>
        <w:spacing w:after="40"/>
      </w:pPr>
      <w:r>
        <w:rPr>
          <w:rFonts w:ascii="NanumGothic" w:hAnsi="NanumGothic" w:eastAsia="NanumGothic"/>
        </w:rPr>
        <w:t>주요 해외 고객별 계약 해지 가능성과 수금 지연 빈도</w:t>
      </w:r>
    </w:p>
    <w:p>
      <w:pPr>
        <w:pStyle w:val="ListBullet"/>
        <w:spacing w:after="40"/>
      </w:pPr>
      <w:r>
        <w:rPr>
          <w:rFonts w:ascii="NanumGothic" w:hAnsi="NanumGothic" w:eastAsia="NanumGothic"/>
        </w:rPr>
        <w:t>예산 환율과 손익 허용범위에 대한 이사회 또는 내부 기준</w:t>
      </w:r>
    </w:p>
    <w:p>
      <w:pPr>
        <w:pStyle w:val="ListBullet"/>
        <w:spacing w:after="40"/>
      </w:pPr>
      <w:r>
        <w:rPr>
          <w:rFonts w:ascii="NanumGothic" w:hAnsi="NanumGothic" w:eastAsia="NanumGothic"/>
        </w:rPr>
        <w:t>현재 은행별 실제 적용 환율 우대 및 수수료 수준</w:t>
      </w:r>
    </w:p>
    <w:p>
      <w:pPr>
        <w:pStyle w:val="ListBullet"/>
        <w:spacing w:after="40"/>
      </w:pPr>
      <w:r>
        <w:rPr>
          <w:rFonts w:ascii="NanumGothic" w:hAnsi="NanumGothic" w:eastAsia="NanumGothic"/>
        </w:rPr>
        <w:t>파생상품 거래를 위한 내부 결재권한과 회계처리 역량</w:t>
      </w:r>
    </w:p>
    <w:p>
      <w:pPr>
        <w:pStyle w:val="Heading1"/>
      </w:pPr>
      <w:r>
        <w:t>고객이 요청한 다음 산출물</w:t>
      </w:r>
    </w:p>
    <w:p>
      <w:pPr>
        <w:pStyle w:val="ListBullet"/>
        <w:spacing w:after="40"/>
      </w:pPr>
      <w:r>
        <w:rPr>
          <w:rFonts w:ascii="NanumGothic" w:hAnsi="NanumGothic" w:eastAsia="NanumGothic"/>
        </w:rPr>
        <w:t>향후 12개월 통화별 외화 현금흐름 요약</w:t>
      </w:r>
    </w:p>
    <w:p>
      <w:pPr>
        <w:pStyle w:val="ListBullet"/>
        <w:spacing w:after="40"/>
      </w:pPr>
      <w:r>
        <w:rPr>
          <w:rFonts w:ascii="NanumGothic" w:hAnsi="NanumGothic" w:eastAsia="NanumGothic"/>
        </w:rPr>
        <w:t>환헤지 비율과 만기 운영 원칙을 포함한 3단계 실행안</w:t>
      </w:r>
    </w:p>
    <w:p>
      <w:pPr>
        <w:pStyle w:val="ListBullet"/>
        <w:spacing w:after="40"/>
      </w:pPr>
      <w:r>
        <w:rPr>
          <w:rFonts w:ascii="NanumGothic" w:hAnsi="NanumGothic" w:eastAsia="NanumGothic"/>
        </w:rPr>
        <w:t>외환거래 통합 시 기대효과와 전환 절차</w:t>
      </w:r>
    </w:p>
    <w:p>
      <w:pPr>
        <w:pStyle w:val="ListBullet"/>
        <w:spacing w:after="40"/>
      </w:pPr>
      <w:r>
        <w:rPr>
          <w:rFonts w:ascii="NanumGothic" w:hAnsi="NanumGothic" w:eastAsia="NanumGothic"/>
        </w:rPr>
        <w:t>경영진 보고용 5~10쪽 제안서</w:t>
      </w:r>
    </w:p>
    <w:sectPr w:rsidR="00FC693F" w:rsidRPr="0006063C" w:rsidSect="00034616">
      <w:footerReference w:type="default" r:id="rId9"/>
      <w:pgSz w:w="12240" w:h="15840"/>
      <w:pgMar w:top="1020" w:right="1134" w:bottom="10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NanumGothic" w:hAnsi="NanumGothic" w:eastAsia="NanumGothic"/>
        <w:color w:val="646464"/>
        <w:sz w:val="16"/>
      </w:rPr>
      <w:t>MM뱅크 외환 전문요원 실습용 가상자료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NanumGothic" w:hAnsi="NanumGothic" w:eastAsia="NanumGothic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NanumGothic" w:hAnsi="NanumGothic" w:eastAsia="NanumGothic"/>
      <w:b/>
      <w:bCs/>
      <w:color w:val="17365D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NanumGothic" w:hAnsi="NanumGothic" w:eastAsia="NanumGothic"/>
      <w:b/>
      <w:bCs/>
      <w:color w:val="2F75B5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NanumGothic" w:hAnsi="NanumGothic" w:eastAsia="NanumGothic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NanumGothic" w:hAnsi="NanumGothic" w:eastAsia="NanumGothic"/>
      <w:b/>
      <w:color w:val="17365D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